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839"/>
        <w:gridCol w:w="577"/>
        <w:gridCol w:w="11"/>
        <w:gridCol w:w="2426"/>
        <w:gridCol w:w="5488"/>
        <w:gridCol w:w="1271"/>
        <w:gridCol w:w="11"/>
        <w:gridCol w:w="209"/>
        <w:gridCol w:w="1218"/>
      </w:tblGrid>
      <w:tr w:rsidR="007A4610">
        <w:trPr>
          <w:trHeight w:val="1078"/>
        </w:trPr>
        <w:tc>
          <w:tcPr>
            <w:tcW w:w="839" w:type="dxa"/>
          </w:tcPr>
          <w:p w:rsidR="007A4610" w:rsidRDefault="007A4610">
            <w:pPr>
              <w:pStyle w:val="EmptyCellLayoutStyle"/>
              <w:spacing w:after="0" w:line="240" w:lineRule="auto"/>
            </w:pPr>
          </w:p>
        </w:tc>
        <w:tc>
          <w:tcPr>
            <w:tcW w:w="577"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426" w:type="dxa"/>
          </w:tcPr>
          <w:p w:rsidR="007A4610" w:rsidRDefault="007A4610">
            <w:pPr>
              <w:pStyle w:val="EmptyCellLayoutStyle"/>
              <w:spacing w:after="0" w:line="240" w:lineRule="auto"/>
            </w:pPr>
          </w:p>
        </w:tc>
        <w:tc>
          <w:tcPr>
            <w:tcW w:w="5488" w:type="dxa"/>
          </w:tcPr>
          <w:p w:rsidR="007A4610" w:rsidRDefault="007A4610">
            <w:pPr>
              <w:pStyle w:val="EmptyCellLayoutStyle"/>
              <w:spacing w:after="0" w:line="240" w:lineRule="auto"/>
            </w:pPr>
          </w:p>
        </w:tc>
        <w:tc>
          <w:tcPr>
            <w:tcW w:w="1271"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r w:rsidR="00E17947" w:rsidTr="00E17947">
        <w:trPr>
          <w:trHeight w:val="360"/>
        </w:trPr>
        <w:tc>
          <w:tcPr>
            <w:tcW w:w="839" w:type="dxa"/>
          </w:tcPr>
          <w:p w:rsidR="007A4610" w:rsidRDefault="007A4610">
            <w:pPr>
              <w:pStyle w:val="EmptyCellLayoutStyle"/>
              <w:spacing w:after="0" w:line="240" w:lineRule="auto"/>
            </w:pPr>
          </w:p>
        </w:tc>
        <w:tc>
          <w:tcPr>
            <w:tcW w:w="577" w:type="dxa"/>
            <w:gridSpan w:val="3"/>
          </w:tcPr>
          <w:tbl>
            <w:tblPr>
              <w:tblW w:w="0" w:type="auto"/>
              <w:tblCellMar>
                <w:left w:w="0" w:type="dxa"/>
                <w:right w:w="0" w:type="dxa"/>
              </w:tblCellMar>
              <w:tblLook w:val="04A0" w:firstRow="1" w:lastRow="0" w:firstColumn="1" w:lastColumn="0" w:noHBand="0" w:noVBand="1"/>
            </w:tblPr>
            <w:tblGrid>
              <w:gridCol w:w="3014"/>
            </w:tblGrid>
            <w:tr w:rsidR="007A4610">
              <w:trPr>
                <w:trHeight w:val="282"/>
              </w:trPr>
              <w:tc>
                <w:tcPr>
                  <w:tcW w:w="3015" w:type="dxa"/>
                  <w:tcBorders>
                    <w:top w:val="nil"/>
                    <w:left w:val="nil"/>
                    <w:bottom w:val="nil"/>
                    <w:right w:val="nil"/>
                  </w:tcBorders>
                  <w:tcMar>
                    <w:top w:w="39" w:type="dxa"/>
                    <w:left w:w="39" w:type="dxa"/>
                    <w:bottom w:w="39" w:type="dxa"/>
                    <w:right w:w="39" w:type="dxa"/>
                  </w:tcMar>
                </w:tcPr>
                <w:p w:rsidR="007A4610" w:rsidRDefault="00E17947">
                  <w:pPr>
                    <w:spacing w:after="0" w:line="240" w:lineRule="auto"/>
                  </w:pPr>
                  <w:r>
                    <w:rPr>
                      <w:rFonts w:ascii="Segoe UI" w:eastAsia="Segoe UI" w:hAnsi="Segoe UI"/>
                      <w:b/>
                      <w:color w:val="000000"/>
                    </w:rPr>
                    <w:t>TÜRİB BASIN DUYURUSU</w:t>
                  </w:r>
                </w:p>
              </w:tc>
            </w:tr>
          </w:tbl>
          <w:p w:rsidR="007A4610" w:rsidRDefault="007A4610">
            <w:pPr>
              <w:spacing w:after="0" w:line="240" w:lineRule="auto"/>
            </w:pPr>
          </w:p>
        </w:tc>
        <w:tc>
          <w:tcPr>
            <w:tcW w:w="5488" w:type="dxa"/>
          </w:tcPr>
          <w:p w:rsidR="007A4610" w:rsidRDefault="007A4610">
            <w:pPr>
              <w:pStyle w:val="EmptyCellLayoutStyle"/>
              <w:spacing w:after="0" w:line="240" w:lineRule="auto"/>
            </w:pPr>
          </w:p>
        </w:tc>
        <w:tc>
          <w:tcPr>
            <w:tcW w:w="1271" w:type="dxa"/>
            <w:vMerge w:val="restart"/>
            <w:tcBorders>
              <w:top w:val="nil"/>
              <w:left w:val="nil"/>
              <w:bottom w:val="nil"/>
              <w:right w:val="nil"/>
            </w:tcBorders>
            <w:tcMar>
              <w:top w:w="0" w:type="dxa"/>
              <w:left w:w="0" w:type="dxa"/>
              <w:bottom w:w="0" w:type="dxa"/>
              <w:right w:w="0" w:type="dxa"/>
            </w:tcMar>
          </w:tcPr>
          <w:p w:rsidR="007A4610" w:rsidRDefault="00E17947">
            <w:pPr>
              <w:spacing w:after="0" w:line="240" w:lineRule="auto"/>
            </w:pPr>
            <w:r>
              <w:rPr>
                <w:noProof/>
              </w:rPr>
              <w:drawing>
                <wp:inline distT="0" distB="0" distL="0" distR="0">
                  <wp:extent cx="795866" cy="238758"/>
                  <wp:effectExtent l="0" t="0" r="0" b="0"/>
                  <wp:docPr id="1" name="img2.png"/>
                  <wp:cNvGraphicFramePr/>
                  <a:graphic xmlns:a="http://schemas.openxmlformats.org/drawingml/2006/main">
                    <a:graphicData uri="http://schemas.openxmlformats.org/drawingml/2006/picture">
                      <pic:pic xmlns:pic="http://schemas.openxmlformats.org/drawingml/2006/picture">
                        <pic:nvPicPr>
                          <pic:cNvPr id="1" name="img2.png"/>
                          <pic:cNvPicPr/>
                        </pic:nvPicPr>
                        <pic:blipFill>
                          <a:blip r:embed="rId5" cstate="print"/>
                          <a:stretch>
                            <a:fillRect/>
                          </a:stretch>
                        </pic:blipFill>
                        <pic:spPr>
                          <a:xfrm>
                            <a:off x="0" y="0"/>
                            <a:ext cx="795866" cy="238758"/>
                          </a:xfrm>
                          <a:prstGeom prst="rect">
                            <a:avLst/>
                          </a:prstGeom>
                        </pic:spPr>
                      </pic:pic>
                    </a:graphicData>
                  </a:graphic>
                </wp:inline>
              </w:drawing>
            </w:r>
          </w:p>
        </w:tc>
        <w:tc>
          <w:tcPr>
            <w:tcW w:w="11" w:type="dxa"/>
          </w:tcPr>
          <w:p w:rsidR="007A4610" w:rsidRDefault="007A4610">
            <w:pPr>
              <w:pStyle w:val="EmptyCellLayoutStyle"/>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r w:rsidR="007A4610">
        <w:trPr>
          <w:trHeight w:val="15"/>
        </w:trPr>
        <w:tc>
          <w:tcPr>
            <w:tcW w:w="839" w:type="dxa"/>
          </w:tcPr>
          <w:p w:rsidR="007A4610" w:rsidRDefault="007A4610">
            <w:pPr>
              <w:pStyle w:val="EmptyCellLayoutStyle"/>
              <w:spacing w:after="0" w:line="240" w:lineRule="auto"/>
            </w:pPr>
          </w:p>
        </w:tc>
        <w:tc>
          <w:tcPr>
            <w:tcW w:w="577"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426" w:type="dxa"/>
          </w:tcPr>
          <w:p w:rsidR="007A4610" w:rsidRDefault="007A4610">
            <w:pPr>
              <w:pStyle w:val="EmptyCellLayoutStyle"/>
              <w:spacing w:after="0" w:line="240" w:lineRule="auto"/>
            </w:pPr>
          </w:p>
        </w:tc>
        <w:tc>
          <w:tcPr>
            <w:tcW w:w="5488" w:type="dxa"/>
          </w:tcPr>
          <w:p w:rsidR="007A4610" w:rsidRDefault="007A4610">
            <w:pPr>
              <w:pStyle w:val="EmptyCellLayoutStyle"/>
              <w:spacing w:after="0" w:line="240" w:lineRule="auto"/>
            </w:pPr>
          </w:p>
        </w:tc>
        <w:tc>
          <w:tcPr>
            <w:tcW w:w="1271" w:type="dxa"/>
            <w:vMerge/>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r w:rsidR="007A4610">
        <w:trPr>
          <w:trHeight w:val="24"/>
        </w:trPr>
        <w:tc>
          <w:tcPr>
            <w:tcW w:w="839" w:type="dxa"/>
          </w:tcPr>
          <w:p w:rsidR="007A4610" w:rsidRDefault="007A4610">
            <w:pPr>
              <w:pStyle w:val="EmptyCellLayoutStyle"/>
              <w:spacing w:after="0" w:line="240" w:lineRule="auto"/>
            </w:pPr>
          </w:p>
        </w:tc>
        <w:tc>
          <w:tcPr>
            <w:tcW w:w="577"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426" w:type="dxa"/>
          </w:tcPr>
          <w:p w:rsidR="007A4610" w:rsidRDefault="007A4610">
            <w:pPr>
              <w:pStyle w:val="EmptyCellLayoutStyle"/>
              <w:spacing w:after="0" w:line="240" w:lineRule="auto"/>
            </w:pPr>
          </w:p>
        </w:tc>
        <w:tc>
          <w:tcPr>
            <w:tcW w:w="5488" w:type="dxa"/>
          </w:tcPr>
          <w:p w:rsidR="007A4610" w:rsidRDefault="007A4610">
            <w:pPr>
              <w:pStyle w:val="EmptyCellLayoutStyle"/>
              <w:spacing w:after="0" w:line="240" w:lineRule="auto"/>
            </w:pPr>
          </w:p>
        </w:tc>
        <w:tc>
          <w:tcPr>
            <w:tcW w:w="1271"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r w:rsidR="00E17947" w:rsidTr="00E17947">
        <w:trPr>
          <w:trHeight w:val="360"/>
        </w:trPr>
        <w:tc>
          <w:tcPr>
            <w:tcW w:w="839" w:type="dxa"/>
          </w:tcPr>
          <w:p w:rsidR="007A4610" w:rsidRDefault="007A4610">
            <w:pPr>
              <w:pStyle w:val="EmptyCellLayoutStyle"/>
              <w:spacing w:after="0" w:line="240" w:lineRule="auto"/>
            </w:pPr>
          </w:p>
        </w:tc>
        <w:tc>
          <w:tcPr>
            <w:tcW w:w="577" w:type="dxa"/>
            <w:gridSpan w:val="3"/>
          </w:tcPr>
          <w:tbl>
            <w:tblPr>
              <w:tblW w:w="0" w:type="auto"/>
              <w:tblCellMar>
                <w:left w:w="0" w:type="dxa"/>
                <w:right w:w="0" w:type="dxa"/>
              </w:tblCellMar>
              <w:tblLook w:val="04A0" w:firstRow="1" w:lastRow="0" w:firstColumn="1" w:lastColumn="0" w:noHBand="0" w:noVBand="1"/>
            </w:tblPr>
            <w:tblGrid>
              <w:gridCol w:w="3014"/>
            </w:tblGrid>
            <w:tr w:rsidR="007A4610">
              <w:trPr>
                <w:trHeight w:val="282"/>
              </w:trPr>
              <w:tc>
                <w:tcPr>
                  <w:tcW w:w="3015" w:type="dxa"/>
                  <w:tcBorders>
                    <w:top w:val="nil"/>
                    <w:left w:val="nil"/>
                    <w:bottom w:val="nil"/>
                    <w:right w:val="nil"/>
                  </w:tcBorders>
                  <w:tcMar>
                    <w:top w:w="39" w:type="dxa"/>
                    <w:left w:w="39" w:type="dxa"/>
                    <w:bottom w:w="39" w:type="dxa"/>
                    <w:right w:w="39" w:type="dxa"/>
                  </w:tcMar>
                </w:tcPr>
                <w:p w:rsidR="007A4610" w:rsidRDefault="009B5393">
                  <w:pPr>
                    <w:spacing w:after="0" w:line="240" w:lineRule="auto"/>
                  </w:pPr>
                  <w:r>
                    <w:rPr>
                      <w:rFonts w:ascii="Segoe UI" w:eastAsia="Segoe UI" w:hAnsi="Segoe UI"/>
                      <w:b/>
                      <w:color w:val="000000"/>
                      <w:sz w:val="22"/>
                    </w:rPr>
                    <w:t>02</w:t>
                  </w:r>
                  <w:r w:rsidR="00E17947">
                    <w:rPr>
                      <w:rFonts w:ascii="Segoe UI" w:eastAsia="Segoe UI" w:hAnsi="Segoe UI"/>
                      <w:b/>
                      <w:color w:val="000000"/>
                      <w:sz w:val="22"/>
                    </w:rPr>
                    <w:t>/</w:t>
                  </w:r>
                  <w:r w:rsidR="00947E77">
                    <w:rPr>
                      <w:rFonts w:ascii="Segoe UI" w:eastAsia="Segoe UI" w:hAnsi="Segoe UI"/>
                      <w:b/>
                      <w:color w:val="000000"/>
                      <w:sz w:val="22"/>
                    </w:rPr>
                    <w:t>10</w:t>
                  </w:r>
                  <w:r w:rsidR="00E17947">
                    <w:rPr>
                      <w:rFonts w:ascii="Segoe UI" w:eastAsia="Segoe UI" w:hAnsi="Segoe UI"/>
                      <w:b/>
                      <w:color w:val="000000"/>
                      <w:sz w:val="22"/>
                    </w:rPr>
                    <w:t>/2025</w:t>
                  </w:r>
                </w:p>
              </w:tc>
            </w:tr>
          </w:tbl>
          <w:p w:rsidR="007A4610" w:rsidRDefault="007A4610">
            <w:pPr>
              <w:spacing w:after="0" w:line="240" w:lineRule="auto"/>
            </w:pPr>
          </w:p>
        </w:tc>
        <w:tc>
          <w:tcPr>
            <w:tcW w:w="5488" w:type="dxa"/>
          </w:tcPr>
          <w:p w:rsidR="007A4610" w:rsidRDefault="007A4610">
            <w:pPr>
              <w:pStyle w:val="EmptyCellLayoutStyle"/>
              <w:spacing w:after="0" w:line="240" w:lineRule="auto"/>
            </w:pPr>
          </w:p>
        </w:tc>
        <w:tc>
          <w:tcPr>
            <w:tcW w:w="1271"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r w:rsidR="007A4610">
        <w:trPr>
          <w:trHeight w:val="80"/>
        </w:trPr>
        <w:tc>
          <w:tcPr>
            <w:tcW w:w="839" w:type="dxa"/>
          </w:tcPr>
          <w:p w:rsidR="007A4610" w:rsidRDefault="007A4610">
            <w:pPr>
              <w:pStyle w:val="EmptyCellLayoutStyle"/>
              <w:spacing w:after="0" w:line="240" w:lineRule="auto"/>
            </w:pPr>
          </w:p>
        </w:tc>
        <w:tc>
          <w:tcPr>
            <w:tcW w:w="577"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426" w:type="dxa"/>
          </w:tcPr>
          <w:p w:rsidR="007A4610" w:rsidRDefault="007A4610">
            <w:pPr>
              <w:pStyle w:val="EmptyCellLayoutStyle"/>
              <w:spacing w:after="0" w:line="240" w:lineRule="auto"/>
            </w:pPr>
          </w:p>
        </w:tc>
        <w:tc>
          <w:tcPr>
            <w:tcW w:w="5488" w:type="dxa"/>
          </w:tcPr>
          <w:p w:rsidR="007A4610" w:rsidRDefault="007A4610">
            <w:pPr>
              <w:pStyle w:val="EmptyCellLayoutStyle"/>
              <w:spacing w:after="0" w:line="240" w:lineRule="auto"/>
            </w:pPr>
          </w:p>
        </w:tc>
        <w:tc>
          <w:tcPr>
            <w:tcW w:w="1271"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r w:rsidR="00E17947" w:rsidTr="00E17947">
        <w:trPr>
          <w:trHeight w:val="974"/>
        </w:trPr>
        <w:tc>
          <w:tcPr>
            <w:tcW w:w="839" w:type="dxa"/>
          </w:tcPr>
          <w:p w:rsidR="007A4610" w:rsidRDefault="007A4610">
            <w:pPr>
              <w:pStyle w:val="EmptyCellLayoutStyle"/>
              <w:spacing w:after="0" w:line="240" w:lineRule="auto"/>
            </w:pPr>
          </w:p>
        </w:tc>
        <w:tc>
          <w:tcPr>
            <w:tcW w:w="577" w:type="dxa"/>
            <w:gridSpan w:val="7"/>
          </w:tcPr>
          <w:tbl>
            <w:tblPr>
              <w:tblW w:w="0" w:type="auto"/>
              <w:tblCellMar>
                <w:left w:w="0" w:type="dxa"/>
                <w:right w:w="0" w:type="dxa"/>
              </w:tblCellMar>
              <w:tblLook w:val="04A0" w:firstRow="1" w:lastRow="0" w:firstColumn="1" w:lastColumn="0" w:noHBand="0" w:noVBand="1"/>
            </w:tblPr>
            <w:tblGrid>
              <w:gridCol w:w="9993"/>
            </w:tblGrid>
            <w:tr w:rsidR="007A4610">
              <w:trPr>
                <w:trHeight w:val="974"/>
              </w:trPr>
              <w:tc>
                <w:tcPr>
                  <w:tcW w:w="9997" w:type="dxa"/>
                  <w:tcBorders>
                    <w:top w:val="nil"/>
                    <w:left w:val="nil"/>
                    <w:bottom w:val="nil"/>
                    <w:right w:val="nil"/>
                  </w:tcBorders>
                  <w:tcMar>
                    <w:top w:w="0" w:type="dxa"/>
                    <w:left w:w="0" w:type="dxa"/>
                    <w:bottom w:w="0" w:type="dxa"/>
                    <w:right w:w="0" w:type="dxa"/>
                  </w:tcMar>
                </w:tcPr>
                <w:p w:rsidR="007A4610" w:rsidRDefault="00E17947">
                  <w:pPr>
                    <w:spacing w:after="0" w:line="240" w:lineRule="auto"/>
                  </w:pPr>
                  <w:r>
                    <w:rPr>
                      <w:rFonts w:ascii="Segoe UI" w:eastAsia="Segoe UI" w:hAnsi="Segoe UI"/>
                      <w:b/>
                      <w:color w:val="000000"/>
                      <w:sz w:val="22"/>
                    </w:rPr>
                    <w:t>TÜRİB, 2025 yılı üçüncü çeyreğine ait ELÜS Piyasası istatistiklerini açıkladı (01.07-30.09.2025)</w:t>
                  </w:r>
                </w:p>
                <w:p w:rsidR="007A4610" w:rsidRDefault="007A4610">
                  <w:pPr>
                    <w:spacing w:after="0" w:line="240" w:lineRule="auto"/>
                  </w:pPr>
                </w:p>
                <w:p w:rsidR="007A4610" w:rsidRDefault="00E17947">
                  <w:pPr>
                    <w:spacing w:after="0" w:line="240" w:lineRule="auto"/>
                  </w:pPr>
                  <w:r>
                    <w:rPr>
                      <w:rFonts w:ascii="Segoe UI" w:eastAsia="Segoe UI" w:hAnsi="Segoe UI"/>
                      <w:color w:val="000000"/>
                      <w:sz w:val="16"/>
                    </w:rPr>
                    <w:t>Tarım ürünlerinin işlem gördüğü Türkiye Ürün İhtisas Borsası (TÜRİB) Elektronik Ürün Senedi (ELÜS) Piyasasına ilişkin özet bilgiler aşağıda verilmektedir</w:t>
                  </w:r>
                  <w:r>
                    <w:rPr>
                      <w:rFonts w:ascii="Arial" w:eastAsia="Arial" w:hAnsi="Arial"/>
                      <w:color w:val="000000"/>
                      <w:sz w:val="16"/>
                    </w:rPr>
                    <w:t>:</w:t>
                  </w:r>
                </w:p>
              </w:tc>
            </w:tr>
          </w:tbl>
          <w:p w:rsidR="007A4610" w:rsidRDefault="007A4610">
            <w:pPr>
              <w:spacing w:after="0" w:line="240" w:lineRule="auto"/>
            </w:pPr>
          </w:p>
        </w:tc>
        <w:tc>
          <w:tcPr>
            <w:tcW w:w="1218" w:type="dxa"/>
          </w:tcPr>
          <w:p w:rsidR="007A4610" w:rsidRDefault="007A4610">
            <w:pPr>
              <w:pStyle w:val="EmptyCellLayoutStyle"/>
              <w:spacing w:after="0" w:line="240" w:lineRule="auto"/>
            </w:pPr>
          </w:p>
        </w:tc>
      </w:tr>
      <w:tr w:rsidR="00E17947" w:rsidTr="00E17947">
        <w:trPr>
          <w:trHeight w:val="1654"/>
        </w:trPr>
        <w:tc>
          <w:tcPr>
            <w:tcW w:w="839" w:type="dxa"/>
          </w:tcPr>
          <w:p w:rsidR="007A4610" w:rsidRDefault="007A4610">
            <w:pPr>
              <w:pStyle w:val="EmptyCellLayoutStyle"/>
              <w:spacing w:after="0" w:line="240" w:lineRule="auto"/>
            </w:pPr>
          </w:p>
        </w:tc>
        <w:tc>
          <w:tcPr>
            <w:tcW w:w="577"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426" w:type="dxa"/>
            <w:gridSpan w:val="3"/>
          </w:tcPr>
          <w:tbl>
            <w:tblPr>
              <w:tblW w:w="0" w:type="auto"/>
              <w:tblCellMar>
                <w:left w:w="0" w:type="dxa"/>
                <w:right w:w="0" w:type="dxa"/>
              </w:tblCellMar>
              <w:tblLook w:val="04A0" w:firstRow="1" w:lastRow="0" w:firstColumn="1" w:lastColumn="0" w:noHBand="0" w:noVBand="1"/>
            </w:tblPr>
            <w:tblGrid>
              <w:gridCol w:w="9185"/>
            </w:tblGrid>
            <w:tr w:rsidR="007A4610">
              <w:trPr>
                <w:trHeight w:val="1654"/>
              </w:trPr>
              <w:tc>
                <w:tcPr>
                  <w:tcW w:w="9187" w:type="dxa"/>
                  <w:tcBorders>
                    <w:top w:val="nil"/>
                    <w:left w:val="nil"/>
                    <w:bottom w:val="nil"/>
                    <w:right w:val="nil"/>
                  </w:tcBorders>
                  <w:tcMar>
                    <w:top w:w="0" w:type="dxa"/>
                    <w:left w:w="0" w:type="dxa"/>
                    <w:bottom w:w="0" w:type="dxa"/>
                    <w:right w:w="0" w:type="dxa"/>
                  </w:tcMar>
                </w:tcPr>
                <w:p w:rsidR="007A4610" w:rsidRDefault="00E17947">
                  <w:pPr>
                    <w:numPr>
                      <w:ilvl w:val="0"/>
                      <w:numId w:val="1"/>
                    </w:numPr>
                    <w:spacing w:after="0" w:line="240" w:lineRule="auto"/>
                    <w:ind w:left="720" w:hanging="360"/>
                  </w:pPr>
                  <w:r>
                    <w:rPr>
                      <w:rFonts w:ascii="Segoe UI" w:eastAsia="Segoe UI" w:hAnsi="Segoe UI"/>
                      <w:b/>
                      <w:color w:val="000000"/>
                      <w:sz w:val="16"/>
                    </w:rPr>
                    <w:t>2025 yılının başından itibaren işlem hacmi 92,</w:t>
                  </w:r>
                  <w:r w:rsidR="00947E77">
                    <w:rPr>
                      <w:rFonts w:ascii="Segoe UI" w:eastAsia="Segoe UI" w:hAnsi="Segoe UI"/>
                      <w:b/>
                      <w:color w:val="000000"/>
                      <w:sz w:val="16"/>
                    </w:rPr>
                    <w:t>8</w:t>
                  </w:r>
                  <w:r>
                    <w:rPr>
                      <w:rFonts w:ascii="Segoe UI" w:eastAsia="Segoe UI" w:hAnsi="Segoe UI"/>
                      <w:b/>
                      <w:color w:val="000000"/>
                      <w:sz w:val="16"/>
                    </w:rPr>
                    <w:t xml:space="preserve"> milyar TL, işlem miktarı 7</w:t>
                  </w:r>
                  <w:r w:rsidR="00947E77">
                    <w:rPr>
                      <w:rFonts w:ascii="Segoe UI" w:eastAsia="Segoe UI" w:hAnsi="Segoe UI"/>
                      <w:b/>
                      <w:color w:val="000000"/>
                      <w:sz w:val="16"/>
                    </w:rPr>
                    <w:t>,5</w:t>
                  </w:r>
                  <w:r>
                    <w:rPr>
                      <w:rFonts w:ascii="Segoe UI" w:eastAsia="Segoe UI" w:hAnsi="Segoe UI"/>
                      <w:b/>
                      <w:color w:val="000000"/>
                      <w:sz w:val="16"/>
                    </w:rPr>
                    <w:t xml:space="preserve"> milyon ton ve işlem sayısı 236 bin olarak kaydedilmiştir.</w:t>
                  </w:r>
                </w:p>
                <w:p w:rsidR="007A4610" w:rsidRDefault="00E17947">
                  <w:pPr>
                    <w:numPr>
                      <w:ilvl w:val="0"/>
                      <w:numId w:val="1"/>
                    </w:numPr>
                    <w:spacing w:after="0" w:line="240" w:lineRule="auto"/>
                    <w:ind w:left="720" w:hanging="360"/>
                  </w:pPr>
                  <w:r>
                    <w:rPr>
                      <w:rFonts w:ascii="Segoe UI" w:eastAsia="Segoe UI" w:hAnsi="Segoe UI"/>
                      <w:b/>
                      <w:color w:val="000000"/>
                      <w:sz w:val="16"/>
                    </w:rPr>
                    <w:t>Faal lisanslı depo sayısı 257 olup, 350 şube, 53 il, 160 ilçede hizmet vermektedir.</w:t>
                  </w:r>
                </w:p>
                <w:p w:rsidR="007A4610" w:rsidRDefault="00E17947">
                  <w:pPr>
                    <w:numPr>
                      <w:ilvl w:val="0"/>
                      <w:numId w:val="1"/>
                    </w:numPr>
                    <w:spacing w:after="0" w:line="240" w:lineRule="auto"/>
                    <w:ind w:left="720" w:hanging="360"/>
                  </w:pPr>
                  <w:r>
                    <w:rPr>
                      <w:rFonts w:ascii="Segoe UI" w:eastAsia="Segoe UI" w:hAnsi="Segoe UI"/>
                      <w:b/>
                      <w:color w:val="000000"/>
                      <w:sz w:val="16"/>
                    </w:rPr>
                    <w:t xml:space="preserve">Lisanslı depo kapasitesi 13,8 milyon tona ulaşmıştır. </w:t>
                  </w:r>
                </w:p>
                <w:p w:rsidR="007A4610" w:rsidRDefault="00E17947">
                  <w:pPr>
                    <w:numPr>
                      <w:ilvl w:val="0"/>
                      <w:numId w:val="1"/>
                    </w:numPr>
                    <w:spacing w:after="0" w:line="240" w:lineRule="auto"/>
                    <w:ind w:left="720" w:hanging="360"/>
                  </w:pPr>
                  <w:r>
                    <w:rPr>
                      <w:rFonts w:ascii="Segoe UI" w:eastAsia="Segoe UI" w:hAnsi="Segoe UI"/>
                      <w:b/>
                      <w:color w:val="000000"/>
                      <w:sz w:val="16"/>
                    </w:rPr>
                    <w:t xml:space="preserve">2025 yılının üçüncü çeyreğinde işlem hacmi 61,3 milyar TL, işlem miktarı </w:t>
                  </w:r>
                  <w:r w:rsidR="003548DC">
                    <w:rPr>
                      <w:rFonts w:ascii="Segoe UI" w:eastAsia="Segoe UI" w:hAnsi="Segoe UI"/>
                      <w:b/>
                      <w:color w:val="000000"/>
                      <w:sz w:val="16"/>
                    </w:rPr>
                    <w:t>4,7</w:t>
                  </w:r>
                  <w:r>
                    <w:rPr>
                      <w:rFonts w:ascii="Segoe UI" w:eastAsia="Segoe UI" w:hAnsi="Segoe UI"/>
                      <w:b/>
                      <w:color w:val="000000"/>
                      <w:sz w:val="16"/>
                    </w:rPr>
                    <w:t xml:space="preserve"> milyon ton ve işlem sayısı 208 bin olarak kaydedilmiştir.</w:t>
                  </w:r>
                </w:p>
              </w:tc>
            </w:tr>
          </w:tbl>
          <w:p w:rsidR="007A4610" w:rsidRDefault="007A4610">
            <w:pPr>
              <w:spacing w:after="0" w:line="240" w:lineRule="auto"/>
            </w:pPr>
          </w:p>
        </w:tc>
        <w:tc>
          <w:tcPr>
            <w:tcW w:w="11" w:type="dxa"/>
          </w:tcPr>
          <w:p w:rsidR="007A4610" w:rsidRDefault="007A4610">
            <w:pPr>
              <w:pStyle w:val="EmptyCellLayoutStyle"/>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r w:rsidR="007A4610">
        <w:trPr>
          <w:trHeight w:val="210"/>
        </w:trPr>
        <w:tc>
          <w:tcPr>
            <w:tcW w:w="839" w:type="dxa"/>
          </w:tcPr>
          <w:p w:rsidR="007A4610" w:rsidRDefault="007A4610">
            <w:pPr>
              <w:pStyle w:val="EmptyCellLayoutStyle"/>
              <w:spacing w:after="0" w:line="240" w:lineRule="auto"/>
            </w:pPr>
          </w:p>
        </w:tc>
        <w:tc>
          <w:tcPr>
            <w:tcW w:w="577"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426" w:type="dxa"/>
          </w:tcPr>
          <w:p w:rsidR="007A4610" w:rsidRDefault="007A4610">
            <w:pPr>
              <w:pStyle w:val="EmptyCellLayoutStyle"/>
              <w:spacing w:after="0" w:line="240" w:lineRule="auto"/>
            </w:pPr>
          </w:p>
        </w:tc>
        <w:tc>
          <w:tcPr>
            <w:tcW w:w="5488" w:type="dxa"/>
          </w:tcPr>
          <w:p w:rsidR="007A4610" w:rsidRDefault="007A4610">
            <w:pPr>
              <w:pStyle w:val="EmptyCellLayoutStyle"/>
              <w:spacing w:after="0" w:line="240" w:lineRule="auto"/>
            </w:pPr>
          </w:p>
        </w:tc>
        <w:tc>
          <w:tcPr>
            <w:tcW w:w="1271"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r w:rsidR="00E17947" w:rsidTr="00E17947">
        <w:trPr>
          <w:trHeight w:val="389"/>
        </w:trPr>
        <w:tc>
          <w:tcPr>
            <w:tcW w:w="839" w:type="dxa"/>
          </w:tcPr>
          <w:p w:rsidR="007A4610" w:rsidRDefault="007A4610">
            <w:pPr>
              <w:pStyle w:val="EmptyCellLayoutStyle"/>
              <w:spacing w:after="0" w:line="240" w:lineRule="auto"/>
            </w:pPr>
          </w:p>
        </w:tc>
        <w:tc>
          <w:tcPr>
            <w:tcW w:w="577" w:type="dxa"/>
            <w:gridSpan w:val="5"/>
          </w:tcPr>
          <w:tbl>
            <w:tblPr>
              <w:tblW w:w="0" w:type="auto"/>
              <w:tblCellMar>
                <w:left w:w="0" w:type="dxa"/>
                <w:right w:w="0" w:type="dxa"/>
              </w:tblCellMar>
              <w:tblLook w:val="04A0" w:firstRow="1" w:lastRow="0" w:firstColumn="1" w:lastColumn="0" w:noHBand="0" w:noVBand="1"/>
            </w:tblPr>
            <w:tblGrid>
              <w:gridCol w:w="9773"/>
            </w:tblGrid>
            <w:tr w:rsidR="007A4610">
              <w:trPr>
                <w:trHeight w:val="389"/>
              </w:trPr>
              <w:tc>
                <w:tcPr>
                  <w:tcW w:w="9775" w:type="dxa"/>
                  <w:tcBorders>
                    <w:top w:val="nil"/>
                    <w:left w:val="nil"/>
                    <w:bottom w:val="nil"/>
                    <w:right w:val="nil"/>
                  </w:tcBorders>
                  <w:tcMar>
                    <w:top w:w="0" w:type="dxa"/>
                    <w:left w:w="0" w:type="dxa"/>
                    <w:bottom w:w="0" w:type="dxa"/>
                    <w:right w:w="0" w:type="dxa"/>
                  </w:tcMar>
                </w:tcPr>
                <w:p w:rsidR="007A4610" w:rsidRDefault="00E17947">
                  <w:pPr>
                    <w:spacing w:after="0" w:line="240" w:lineRule="auto"/>
                  </w:pPr>
                  <w:r>
                    <w:rPr>
                      <w:rFonts w:ascii="Segoe UI" w:eastAsia="Segoe UI" w:hAnsi="Segoe UI"/>
                      <w:color w:val="000000"/>
                      <w:sz w:val="16"/>
                    </w:rPr>
                    <w:t xml:space="preserve">  2025 yılı üçüncü çeyreğinde işlem miktarı bazında önde gelen ürünlere ilişkin bilgileri aşağıda verilmektedir.</w:t>
                  </w:r>
                </w:p>
              </w:tc>
            </w:tr>
          </w:tbl>
          <w:p w:rsidR="007A4610" w:rsidRDefault="007A4610">
            <w:pPr>
              <w:spacing w:after="0" w:line="240" w:lineRule="auto"/>
            </w:pPr>
          </w:p>
        </w:tc>
        <w:tc>
          <w:tcPr>
            <w:tcW w:w="11" w:type="dxa"/>
          </w:tcPr>
          <w:p w:rsidR="007A4610" w:rsidRDefault="007A4610">
            <w:pPr>
              <w:pStyle w:val="EmptyCellLayoutStyle"/>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r w:rsidR="00E17947" w:rsidTr="00E17947">
        <w:tc>
          <w:tcPr>
            <w:tcW w:w="839" w:type="dxa"/>
          </w:tcPr>
          <w:p w:rsidR="007A4610" w:rsidRDefault="007A4610">
            <w:pPr>
              <w:pStyle w:val="EmptyCellLayoutStyle"/>
              <w:spacing w:after="0" w:line="240" w:lineRule="auto"/>
            </w:pPr>
          </w:p>
        </w:tc>
        <w:tc>
          <w:tcPr>
            <w:tcW w:w="577" w:type="dxa"/>
          </w:tcPr>
          <w:p w:rsidR="007A4610" w:rsidRDefault="007A4610">
            <w:pPr>
              <w:pStyle w:val="EmptyCellLayoutStyle"/>
              <w:spacing w:after="0" w:line="240" w:lineRule="auto"/>
            </w:pPr>
          </w:p>
        </w:tc>
        <w:tc>
          <w:tcPr>
            <w:tcW w:w="11" w:type="dxa"/>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178"/>
            </w:tblGrid>
            <w:tr w:rsidR="007A4610">
              <w:trPr>
                <w:trHeight w:val="191"/>
              </w:trPr>
              <w:tc>
                <w:tcPr>
                  <w:tcW w:w="9198"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7A4610" w:rsidRDefault="00E17947">
                  <w:pPr>
                    <w:numPr>
                      <w:ilvl w:val="0"/>
                      <w:numId w:val="1"/>
                    </w:numPr>
                    <w:spacing w:after="0" w:line="240" w:lineRule="auto"/>
                    <w:ind w:left="720" w:hanging="360"/>
                  </w:pPr>
                  <w:r>
                    <w:rPr>
                      <w:rFonts w:ascii="Segoe UI" w:eastAsia="Segoe UI" w:hAnsi="Segoe UI"/>
                      <w:b/>
                      <w:color w:val="000000"/>
                      <w:sz w:val="16"/>
                    </w:rPr>
                    <w:t xml:space="preserve">Buğday Ekmeklik: </w:t>
                  </w:r>
                  <w:r>
                    <w:rPr>
                      <w:rFonts w:ascii="Segoe UI" w:eastAsia="Segoe UI" w:hAnsi="Segoe UI"/>
                      <w:color w:val="000000"/>
                      <w:sz w:val="16"/>
                    </w:rPr>
                    <w:t>36.157 ton günlük ortalama işlem miktarı</w:t>
                  </w:r>
                </w:p>
              </w:tc>
            </w:tr>
            <w:tr w:rsidR="007A4610">
              <w:trPr>
                <w:trHeight w:val="191"/>
              </w:trPr>
              <w:tc>
                <w:tcPr>
                  <w:tcW w:w="9198"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7A4610" w:rsidRDefault="00E17947">
                  <w:pPr>
                    <w:numPr>
                      <w:ilvl w:val="0"/>
                      <w:numId w:val="1"/>
                    </w:numPr>
                    <w:spacing w:after="0" w:line="240" w:lineRule="auto"/>
                    <w:ind w:left="720" w:hanging="360"/>
                  </w:pPr>
                  <w:r>
                    <w:rPr>
                      <w:rFonts w:ascii="Segoe UI" w:eastAsia="Segoe UI" w:hAnsi="Segoe UI"/>
                      <w:b/>
                      <w:color w:val="000000"/>
                      <w:sz w:val="16"/>
                    </w:rPr>
                    <w:t xml:space="preserve">Mısır: </w:t>
                  </w:r>
                  <w:r>
                    <w:rPr>
                      <w:rFonts w:ascii="Segoe UI" w:eastAsia="Segoe UI" w:hAnsi="Segoe UI"/>
                      <w:color w:val="000000"/>
                      <w:sz w:val="16"/>
                    </w:rPr>
                    <w:t>16.589 ton günlük ortalama işlem miktarı</w:t>
                  </w:r>
                </w:p>
              </w:tc>
            </w:tr>
            <w:tr w:rsidR="007A4610">
              <w:trPr>
                <w:trHeight w:val="191"/>
              </w:trPr>
              <w:tc>
                <w:tcPr>
                  <w:tcW w:w="9198"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7A4610" w:rsidRDefault="00E17947">
                  <w:pPr>
                    <w:numPr>
                      <w:ilvl w:val="0"/>
                      <w:numId w:val="1"/>
                    </w:numPr>
                    <w:spacing w:after="0" w:line="240" w:lineRule="auto"/>
                    <w:ind w:left="720" w:hanging="360"/>
                  </w:pPr>
                  <w:r>
                    <w:rPr>
                      <w:rFonts w:ascii="Segoe UI" w:eastAsia="Segoe UI" w:hAnsi="Segoe UI"/>
                      <w:b/>
                      <w:color w:val="000000"/>
                      <w:sz w:val="16"/>
                    </w:rPr>
                    <w:t xml:space="preserve">Buğday Makarnalık: </w:t>
                  </w:r>
                  <w:r>
                    <w:rPr>
                      <w:rFonts w:ascii="Segoe UI" w:eastAsia="Segoe UI" w:hAnsi="Segoe UI"/>
                      <w:color w:val="000000"/>
                      <w:sz w:val="16"/>
                    </w:rPr>
                    <w:t>16.297 ton günlük ortalama işlem miktarı</w:t>
                  </w:r>
                </w:p>
              </w:tc>
            </w:tr>
            <w:tr w:rsidR="007A4610">
              <w:trPr>
                <w:trHeight w:val="191"/>
              </w:trPr>
              <w:tc>
                <w:tcPr>
                  <w:tcW w:w="9198"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7A4610" w:rsidRDefault="00E17947">
                  <w:pPr>
                    <w:numPr>
                      <w:ilvl w:val="0"/>
                      <w:numId w:val="1"/>
                    </w:numPr>
                    <w:spacing w:after="0" w:line="240" w:lineRule="auto"/>
                    <w:ind w:left="720" w:hanging="360"/>
                  </w:pPr>
                  <w:r>
                    <w:rPr>
                      <w:rFonts w:ascii="Segoe UI" w:eastAsia="Segoe UI" w:hAnsi="Segoe UI"/>
                      <w:b/>
                      <w:color w:val="000000"/>
                      <w:sz w:val="16"/>
                    </w:rPr>
                    <w:t xml:space="preserve">Arpa: </w:t>
                  </w:r>
                  <w:r>
                    <w:rPr>
                      <w:rFonts w:ascii="Segoe UI" w:eastAsia="Segoe UI" w:hAnsi="Segoe UI"/>
                      <w:color w:val="000000"/>
                      <w:sz w:val="16"/>
                    </w:rPr>
                    <w:t>3.175 ton günlük ortalama işlem miktarı</w:t>
                  </w:r>
                </w:p>
              </w:tc>
            </w:tr>
            <w:tr w:rsidR="007A4610">
              <w:trPr>
                <w:trHeight w:val="191"/>
              </w:trPr>
              <w:tc>
                <w:tcPr>
                  <w:tcW w:w="9198"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7A4610" w:rsidRDefault="00E17947">
                  <w:pPr>
                    <w:numPr>
                      <w:ilvl w:val="0"/>
                      <w:numId w:val="1"/>
                    </w:numPr>
                    <w:spacing w:after="0" w:line="240" w:lineRule="auto"/>
                    <w:ind w:left="720" w:hanging="360"/>
                  </w:pPr>
                  <w:r>
                    <w:rPr>
                      <w:rFonts w:ascii="Segoe UI" w:eastAsia="Segoe UI" w:hAnsi="Segoe UI"/>
                      <w:b/>
                      <w:color w:val="000000"/>
                      <w:sz w:val="16"/>
                    </w:rPr>
                    <w:t xml:space="preserve">Ayçiçeği Tohumu: </w:t>
                  </w:r>
                  <w:r>
                    <w:rPr>
                      <w:rFonts w:ascii="Segoe UI" w:eastAsia="Segoe UI" w:hAnsi="Segoe UI"/>
                      <w:color w:val="000000"/>
                      <w:sz w:val="16"/>
                    </w:rPr>
                    <w:t>687 ton günlük ortalama işlem miktarı</w:t>
                  </w:r>
                </w:p>
              </w:tc>
            </w:tr>
            <w:tr w:rsidR="007A4610">
              <w:trPr>
                <w:trHeight w:val="191"/>
              </w:trPr>
              <w:tc>
                <w:tcPr>
                  <w:tcW w:w="9198"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7A4610" w:rsidRDefault="00E17947">
                  <w:pPr>
                    <w:numPr>
                      <w:ilvl w:val="0"/>
                      <w:numId w:val="1"/>
                    </w:numPr>
                    <w:spacing w:after="0" w:line="240" w:lineRule="auto"/>
                    <w:ind w:left="720" w:hanging="360"/>
                  </w:pPr>
                  <w:r>
                    <w:rPr>
                      <w:rFonts w:ascii="Segoe UI" w:eastAsia="Segoe UI" w:hAnsi="Segoe UI"/>
                      <w:b/>
                      <w:color w:val="000000"/>
                      <w:sz w:val="16"/>
                    </w:rPr>
                    <w:t xml:space="preserve">Soya Fasulyesi: </w:t>
                  </w:r>
                  <w:r>
                    <w:rPr>
                      <w:rFonts w:ascii="Segoe UI" w:eastAsia="Segoe UI" w:hAnsi="Segoe UI"/>
                      <w:color w:val="000000"/>
                      <w:sz w:val="16"/>
                    </w:rPr>
                    <w:t>143 ton günlük ortalama işlem miktarı</w:t>
                  </w:r>
                </w:p>
              </w:tc>
            </w:tr>
          </w:tbl>
          <w:p w:rsidR="007A4610" w:rsidRDefault="007A4610">
            <w:pPr>
              <w:spacing w:after="0" w:line="240" w:lineRule="auto"/>
            </w:pPr>
          </w:p>
        </w:tc>
        <w:tc>
          <w:tcPr>
            <w:tcW w:w="11" w:type="dxa"/>
          </w:tcPr>
          <w:p w:rsidR="007A4610" w:rsidRDefault="007A4610">
            <w:pPr>
              <w:pStyle w:val="EmptyCellLayoutStyle"/>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r w:rsidR="007A4610">
        <w:trPr>
          <w:trHeight w:val="79"/>
        </w:trPr>
        <w:tc>
          <w:tcPr>
            <w:tcW w:w="839" w:type="dxa"/>
          </w:tcPr>
          <w:p w:rsidR="007A4610" w:rsidRDefault="007A4610">
            <w:pPr>
              <w:pStyle w:val="EmptyCellLayoutStyle"/>
              <w:spacing w:after="0" w:line="240" w:lineRule="auto"/>
            </w:pPr>
          </w:p>
        </w:tc>
        <w:tc>
          <w:tcPr>
            <w:tcW w:w="577"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426" w:type="dxa"/>
          </w:tcPr>
          <w:p w:rsidR="007A4610" w:rsidRDefault="007A4610">
            <w:pPr>
              <w:pStyle w:val="EmptyCellLayoutStyle"/>
              <w:spacing w:after="0" w:line="240" w:lineRule="auto"/>
            </w:pPr>
          </w:p>
        </w:tc>
        <w:tc>
          <w:tcPr>
            <w:tcW w:w="5488" w:type="dxa"/>
          </w:tcPr>
          <w:p w:rsidR="007A4610" w:rsidRDefault="007A4610">
            <w:pPr>
              <w:pStyle w:val="EmptyCellLayoutStyle"/>
              <w:spacing w:after="0" w:line="240" w:lineRule="auto"/>
            </w:pPr>
          </w:p>
        </w:tc>
        <w:tc>
          <w:tcPr>
            <w:tcW w:w="1271"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r w:rsidR="00E17947" w:rsidTr="00E17947">
        <w:trPr>
          <w:trHeight w:val="359"/>
        </w:trPr>
        <w:tc>
          <w:tcPr>
            <w:tcW w:w="839" w:type="dxa"/>
          </w:tcPr>
          <w:p w:rsidR="007A4610" w:rsidRDefault="007A4610">
            <w:pPr>
              <w:pStyle w:val="EmptyCellLayoutStyle"/>
              <w:spacing w:after="0" w:line="240" w:lineRule="auto"/>
            </w:pPr>
          </w:p>
        </w:tc>
        <w:tc>
          <w:tcPr>
            <w:tcW w:w="577" w:type="dxa"/>
            <w:gridSpan w:val="5"/>
          </w:tcPr>
          <w:tbl>
            <w:tblPr>
              <w:tblW w:w="0" w:type="auto"/>
              <w:tblCellMar>
                <w:left w:w="0" w:type="dxa"/>
                <w:right w:w="0" w:type="dxa"/>
              </w:tblCellMar>
              <w:tblLook w:val="04A0" w:firstRow="1" w:lastRow="0" w:firstColumn="1" w:lastColumn="0" w:noHBand="0" w:noVBand="1"/>
            </w:tblPr>
            <w:tblGrid>
              <w:gridCol w:w="9773"/>
            </w:tblGrid>
            <w:tr w:rsidR="007A4610">
              <w:trPr>
                <w:trHeight w:val="282"/>
              </w:trPr>
              <w:tc>
                <w:tcPr>
                  <w:tcW w:w="9775" w:type="dxa"/>
                  <w:tcBorders>
                    <w:top w:val="nil"/>
                    <w:left w:val="nil"/>
                    <w:bottom w:val="nil"/>
                    <w:right w:val="nil"/>
                  </w:tcBorders>
                  <w:tcMar>
                    <w:top w:w="39" w:type="dxa"/>
                    <w:left w:w="39" w:type="dxa"/>
                    <w:bottom w:w="39" w:type="dxa"/>
                    <w:right w:w="39" w:type="dxa"/>
                  </w:tcMar>
                </w:tcPr>
                <w:p w:rsidR="007A4610" w:rsidRDefault="00E17947">
                  <w:pPr>
                    <w:spacing w:after="0" w:line="240" w:lineRule="auto"/>
                  </w:pPr>
                  <w:r>
                    <w:rPr>
                      <w:rFonts w:ascii="Segoe UI" w:eastAsia="Segoe UI" w:hAnsi="Segoe UI"/>
                      <w:color w:val="000000"/>
                      <w:sz w:val="16"/>
                    </w:rPr>
                    <w:t>İşlem gören ürünlerde dönemsel işlem hacmi ve miktarı, 2024 yılı aynı dönemi ile karşılaştırmalı olarak verilmektedir:</w:t>
                  </w:r>
                </w:p>
              </w:tc>
            </w:tr>
          </w:tbl>
          <w:p w:rsidR="007A4610" w:rsidRDefault="007A4610">
            <w:pPr>
              <w:spacing w:after="0" w:line="240" w:lineRule="auto"/>
            </w:pPr>
          </w:p>
        </w:tc>
        <w:tc>
          <w:tcPr>
            <w:tcW w:w="11" w:type="dxa"/>
          </w:tcPr>
          <w:p w:rsidR="007A4610" w:rsidRDefault="007A4610">
            <w:pPr>
              <w:pStyle w:val="EmptyCellLayoutStyle"/>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r w:rsidR="007A4610">
        <w:trPr>
          <w:trHeight w:val="119"/>
        </w:trPr>
        <w:tc>
          <w:tcPr>
            <w:tcW w:w="839" w:type="dxa"/>
          </w:tcPr>
          <w:p w:rsidR="007A4610" w:rsidRDefault="007A4610">
            <w:pPr>
              <w:pStyle w:val="EmptyCellLayoutStyle"/>
              <w:spacing w:after="0" w:line="240" w:lineRule="auto"/>
            </w:pPr>
          </w:p>
        </w:tc>
        <w:tc>
          <w:tcPr>
            <w:tcW w:w="577"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426" w:type="dxa"/>
          </w:tcPr>
          <w:p w:rsidR="007A4610" w:rsidRDefault="007A4610">
            <w:pPr>
              <w:pStyle w:val="EmptyCellLayoutStyle"/>
              <w:spacing w:after="0" w:line="240" w:lineRule="auto"/>
            </w:pPr>
          </w:p>
        </w:tc>
        <w:tc>
          <w:tcPr>
            <w:tcW w:w="5488" w:type="dxa"/>
          </w:tcPr>
          <w:p w:rsidR="007A4610" w:rsidRDefault="007A4610">
            <w:pPr>
              <w:pStyle w:val="EmptyCellLayoutStyle"/>
              <w:spacing w:after="0" w:line="240" w:lineRule="auto"/>
            </w:pPr>
          </w:p>
        </w:tc>
        <w:tc>
          <w:tcPr>
            <w:tcW w:w="1271"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r w:rsidR="00E17947" w:rsidTr="00E17947">
        <w:tc>
          <w:tcPr>
            <w:tcW w:w="839" w:type="dxa"/>
          </w:tcPr>
          <w:p w:rsidR="007A4610" w:rsidRDefault="007A4610">
            <w:pPr>
              <w:pStyle w:val="EmptyCellLayoutStyle"/>
              <w:spacing w:after="0" w:line="240" w:lineRule="auto"/>
            </w:pPr>
          </w:p>
        </w:tc>
        <w:tc>
          <w:tcPr>
            <w:tcW w:w="577"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426" w:type="dxa"/>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178"/>
            </w:tblGrid>
            <w:tr w:rsidR="007A4610">
              <w:trPr>
                <w:trHeight w:val="228"/>
              </w:trPr>
              <w:tc>
                <w:tcPr>
                  <w:tcW w:w="9198"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7A4610" w:rsidRDefault="00E17947">
                  <w:pPr>
                    <w:numPr>
                      <w:ilvl w:val="0"/>
                      <w:numId w:val="1"/>
                    </w:numPr>
                    <w:spacing w:after="0" w:line="240" w:lineRule="auto"/>
                    <w:ind w:left="720" w:hanging="360"/>
                  </w:pPr>
                  <w:r>
                    <w:rPr>
                      <w:rFonts w:ascii="Segoe UI" w:eastAsia="Segoe UI" w:hAnsi="Segoe UI"/>
                      <w:b/>
                      <w:color w:val="000000"/>
                      <w:sz w:val="16"/>
                    </w:rPr>
                    <w:t>Buğday Ekmeklik</w:t>
                  </w:r>
                  <w:r>
                    <w:rPr>
                      <w:rFonts w:ascii="Segoe UI" w:eastAsia="Segoe UI" w:hAnsi="Segoe UI"/>
                      <w:color w:val="000000"/>
                      <w:sz w:val="16"/>
                    </w:rPr>
                    <w:t>: işlem hacmi %132 artarak 31,3 milyar TL; işlem miktarı %59 artarak 2.350.208 ton olarak gerçekleşmiştir.</w:t>
                  </w:r>
                </w:p>
              </w:tc>
            </w:tr>
            <w:tr w:rsidR="007A4610">
              <w:trPr>
                <w:trHeight w:val="228"/>
              </w:trPr>
              <w:tc>
                <w:tcPr>
                  <w:tcW w:w="9198"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7A4610" w:rsidRDefault="00E17947">
                  <w:pPr>
                    <w:numPr>
                      <w:ilvl w:val="0"/>
                      <w:numId w:val="1"/>
                    </w:numPr>
                    <w:spacing w:after="0" w:line="240" w:lineRule="auto"/>
                    <w:ind w:left="720" w:hanging="360"/>
                  </w:pPr>
                  <w:r>
                    <w:rPr>
                      <w:rFonts w:ascii="Segoe UI" w:eastAsia="Segoe UI" w:hAnsi="Segoe UI"/>
                      <w:b/>
                      <w:color w:val="000000"/>
                      <w:sz w:val="16"/>
                    </w:rPr>
                    <w:t>Mısır</w:t>
                  </w:r>
                  <w:r>
                    <w:rPr>
                      <w:rFonts w:ascii="Segoe UI" w:eastAsia="Segoe UI" w:hAnsi="Segoe UI"/>
                      <w:color w:val="000000"/>
                      <w:sz w:val="16"/>
                    </w:rPr>
                    <w:t>: işlem hacmi %175 artarak 12,0 milyar TL; işlem miktarı %98 artarak 1.078.315 ton olarak gerçekleşmiştir.</w:t>
                  </w:r>
                </w:p>
              </w:tc>
            </w:tr>
            <w:tr w:rsidR="007A4610">
              <w:trPr>
                <w:trHeight w:val="228"/>
              </w:trPr>
              <w:tc>
                <w:tcPr>
                  <w:tcW w:w="9198"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7A4610" w:rsidRDefault="00E17947">
                  <w:pPr>
                    <w:numPr>
                      <w:ilvl w:val="0"/>
                      <w:numId w:val="1"/>
                    </w:numPr>
                    <w:spacing w:after="0" w:line="240" w:lineRule="auto"/>
                    <w:ind w:left="720" w:hanging="360"/>
                  </w:pPr>
                  <w:r>
                    <w:rPr>
                      <w:rFonts w:ascii="Segoe UI" w:eastAsia="Segoe UI" w:hAnsi="Segoe UI"/>
                      <w:b/>
                      <w:color w:val="000000"/>
                      <w:sz w:val="16"/>
                    </w:rPr>
                    <w:t>Buğday Makarnalık</w:t>
                  </w:r>
                  <w:r>
                    <w:rPr>
                      <w:rFonts w:ascii="Segoe UI" w:eastAsia="Segoe UI" w:hAnsi="Segoe UI"/>
                      <w:color w:val="000000"/>
                      <w:sz w:val="16"/>
                    </w:rPr>
                    <w:t>: işlem hacmi %21 artarak 14,3 milyar TL; işlem miktarı %12 azalarak 1.059.275 ton olarak gerçekleşmiştir.</w:t>
                  </w:r>
                </w:p>
              </w:tc>
            </w:tr>
            <w:tr w:rsidR="007A4610">
              <w:trPr>
                <w:trHeight w:val="228"/>
              </w:trPr>
              <w:tc>
                <w:tcPr>
                  <w:tcW w:w="9198"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7A4610" w:rsidRDefault="00E17947">
                  <w:pPr>
                    <w:numPr>
                      <w:ilvl w:val="0"/>
                      <w:numId w:val="1"/>
                    </w:numPr>
                    <w:spacing w:after="0" w:line="240" w:lineRule="auto"/>
                    <w:ind w:left="720" w:hanging="360"/>
                  </w:pPr>
                  <w:r>
                    <w:rPr>
                      <w:rFonts w:ascii="Segoe UI" w:eastAsia="Segoe UI" w:hAnsi="Segoe UI"/>
                      <w:b/>
                      <w:color w:val="000000"/>
                      <w:sz w:val="16"/>
                    </w:rPr>
                    <w:t>Arpa</w:t>
                  </w:r>
                  <w:r>
                    <w:rPr>
                      <w:rFonts w:ascii="Segoe UI" w:eastAsia="Segoe UI" w:hAnsi="Segoe UI"/>
                      <w:color w:val="000000"/>
                      <w:sz w:val="16"/>
                    </w:rPr>
                    <w:t>: işlem hacmi %34 azalarak 2,3 milyar TL; işlem miktarı %57 azalarak 206.364 ton olarak gerçekleşmiştir.</w:t>
                  </w:r>
                </w:p>
              </w:tc>
            </w:tr>
            <w:tr w:rsidR="007A4610">
              <w:trPr>
                <w:trHeight w:val="228"/>
              </w:trPr>
              <w:tc>
                <w:tcPr>
                  <w:tcW w:w="9198"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7A4610" w:rsidRDefault="00E17947">
                  <w:pPr>
                    <w:numPr>
                      <w:ilvl w:val="0"/>
                      <w:numId w:val="1"/>
                    </w:numPr>
                    <w:spacing w:after="0" w:line="240" w:lineRule="auto"/>
                    <w:ind w:left="720" w:hanging="360"/>
                  </w:pPr>
                  <w:r>
                    <w:rPr>
                      <w:rFonts w:ascii="Segoe UI" w:eastAsia="Segoe UI" w:hAnsi="Segoe UI"/>
                      <w:b/>
                      <w:color w:val="000000"/>
                      <w:sz w:val="16"/>
                    </w:rPr>
                    <w:t>Ayçiçeği Tohumu</w:t>
                  </w:r>
                  <w:r>
                    <w:rPr>
                      <w:rFonts w:ascii="Segoe UI" w:eastAsia="Segoe UI" w:hAnsi="Segoe UI"/>
                      <w:color w:val="000000"/>
                      <w:sz w:val="16"/>
                    </w:rPr>
                    <w:t>: işlem hacmi %30 artarak 1,2 milyar TL; işlem miktarı %17 azalarak 37.808 ton olarak gerçekleşmiştir.</w:t>
                  </w:r>
                </w:p>
              </w:tc>
            </w:tr>
            <w:tr w:rsidR="007A4610">
              <w:trPr>
                <w:trHeight w:val="228"/>
              </w:trPr>
              <w:tc>
                <w:tcPr>
                  <w:tcW w:w="9198"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7A4610" w:rsidRDefault="00E17947">
                  <w:pPr>
                    <w:numPr>
                      <w:ilvl w:val="0"/>
                      <w:numId w:val="1"/>
                    </w:numPr>
                    <w:spacing w:after="0" w:line="240" w:lineRule="auto"/>
                    <w:ind w:left="720" w:hanging="360"/>
                  </w:pPr>
                  <w:r>
                    <w:rPr>
                      <w:rFonts w:ascii="Segoe UI" w:eastAsia="Segoe UI" w:hAnsi="Segoe UI"/>
                      <w:b/>
                      <w:color w:val="000000"/>
                      <w:sz w:val="16"/>
                    </w:rPr>
                    <w:t>Soya Fasulyesi</w:t>
                  </w:r>
                  <w:r>
                    <w:rPr>
                      <w:rFonts w:ascii="Segoe UI" w:eastAsia="Segoe UI" w:hAnsi="Segoe UI"/>
                      <w:color w:val="000000"/>
                      <w:sz w:val="16"/>
                    </w:rPr>
                    <w:t>: işlem hacmi %237 artarak 40,5 milyon TL; işlem miktarı %191 artarak 2.139 ton olarak gerçekleşmiştir.</w:t>
                  </w:r>
                </w:p>
              </w:tc>
            </w:tr>
          </w:tbl>
          <w:p w:rsidR="007A4610" w:rsidRDefault="007A4610">
            <w:pPr>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r w:rsidR="007A4610">
        <w:trPr>
          <w:trHeight w:val="180"/>
        </w:trPr>
        <w:tc>
          <w:tcPr>
            <w:tcW w:w="839" w:type="dxa"/>
          </w:tcPr>
          <w:p w:rsidR="007A4610" w:rsidRDefault="007A4610">
            <w:pPr>
              <w:pStyle w:val="EmptyCellLayoutStyle"/>
              <w:spacing w:after="0" w:line="240" w:lineRule="auto"/>
            </w:pPr>
          </w:p>
        </w:tc>
        <w:tc>
          <w:tcPr>
            <w:tcW w:w="577"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426" w:type="dxa"/>
          </w:tcPr>
          <w:p w:rsidR="007A4610" w:rsidRDefault="007A4610">
            <w:pPr>
              <w:pStyle w:val="EmptyCellLayoutStyle"/>
              <w:spacing w:after="0" w:line="240" w:lineRule="auto"/>
            </w:pPr>
          </w:p>
        </w:tc>
        <w:tc>
          <w:tcPr>
            <w:tcW w:w="5488" w:type="dxa"/>
          </w:tcPr>
          <w:p w:rsidR="007A4610" w:rsidRDefault="007A4610">
            <w:pPr>
              <w:pStyle w:val="EmptyCellLayoutStyle"/>
              <w:spacing w:after="0" w:line="240" w:lineRule="auto"/>
            </w:pPr>
          </w:p>
        </w:tc>
        <w:tc>
          <w:tcPr>
            <w:tcW w:w="1271"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r w:rsidR="00E17947" w:rsidTr="00E17947">
        <w:trPr>
          <w:trHeight w:val="360"/>
        </w:trPr>
        <w:tc>
          <w:tcPr>
            <w:tcW w:w="839" w:type="dxa"/>
          </w:tcPr>
          <w:p w:rsidR="007A4610" w:rsidRDefault="007A4610">
            <w:pPr>
              <w:pStyle w:val="EmptyCellLayoutStyle"/>
              <w:spacing w:after="0" w:line="240" w:lineRule="auto"/>
            </w:pPr>
          </w:p>
        </w:tc>
        <w:tc>
          <w:tcPr>
            <w:tcW w:w="577" w:type="dxa"/>
            <w:gridSpan w:val="5"/>
          </w:tcPr>
          <w:tbl>
            <w:tblPr>
              <w:tblW w:w="0" w:type="auto"/>
              <w:tblCellMar>
                <w:left w:w="0" w:type="dxa"/>
                <w:right w:w="0" w:type="dxa"/>
              </w:tblCellMar>
              <w:tblLook w:val="04A0" w:firstRow="1" w:lastRow="0" w:firstColumn="1" w:lastColumn="0" w:noHBand="0" w:noVBand="1"/>
            </w:tblPr>
            <w:tblGrid>
              <w:gridCol w:w="9773"/>
            </w:tblGrid>
            <w:tr w:rsidR="007A4610">
              <w:trPr>
                <w:trHeight w:val="282"/>
              </w:trPr>
              <w:tc>
                <w:tcPr>
                  <w:tcW w:w="9775" w:type="dxa"/>
                  <w:tcBorders>
                    <w:top w:val="nil"/>
                    <w:left w:val="nil"/>
                    <w:bottom w:val="nil"/>
                    <w:right w:val="nil"/>
                  </w:tcBorders>
                  <w:tcMar>
                    <w:top w:w="39" w:type="dxa"/>
                    <w:left w:w="39" w:type="dxa"/>
                    <w:bottom w:w="39" w:type="dxa"/>
                    <w:right w:w="39" w:type="dxa"/>
                  </w:tcMar>
                </w:tcPr>
                <w:p w:rsidR="007A4610" w:rsidRDefault="009245A3">
                  <w:pPr>
                    <w:spacing w:after="0" w:line="240" w:lineRule="auto"/>
                  </w:pPr>
                  <w:r>
                    <w:rPr>
                      <w:rFonts w:ascii="Segoe UI" w:eastAsia="Segoe UI" w:hAnsi="Segoe UI"/>
                      <w:color w:val="000000"/>
                      <w:sz w:val="16"/>
                    </w:rPr>
                    <w:t xml:space="preserve">Tarımsal Ürün Endekslerinin 2025 yılı </w:t>
                  </w:r>
                  <w:r w:rsidR="00E17947">
                    <w:rPr>
                      <w:rFonts w:ascii="Segoe UI" w:eastAsia="Segoe UI" w:hAnsi="Segoe UI"/>
                      <w:color w:val="000000"/>
                      <w:sz w:val="16"/>
                    </w:rPr>
                    <w:t>üçüncü üç ayında, ay sonu kapanış değerine göre değişimi aşağıda verilmektedir.</w:t>
                  </w:r>
                </w:p>
              </w:tc>
            </w:tr>
          </w:tbl>
          <w:p w:rsidR="007A4610" w:rsidRDefault="007A4610">
            <w:pPr>
              <w:spacing w:after="0" w:line="240" w:lineRule="auto"/>
            </w:pPr>
          </w:p>
        </w:tc>
        <w:tc>
          <w:tcPr>
            <w:tcW w:w="11" w:type="dxa"/>
          </w:tcPr>
          <w:p w:rsidR="007A4610" w:rsidRDefault="007A4610">
            <w:pPr>
              <w:pStyle w:val="EmptyCellLayoutStyle"/>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r w:rsidR="00E17947" w:rsidTr="00E17947">
        <w:tc>
          <w:tcPr>
            <w:tcW w:w="839" w:type="dxa"/>
          </w:tcPr>
          <w:p w:rsidR="007A4610" w:rsidRDefault="007A4610">
            <w:pPr>
              <w:pStyle w:val="EmptyCellLayoutStyle"/>
              <w:spacing w:after="0" w:line="240" w:lineRule="auto"/>
            </w:pPr>
          </w:p>
        </w:tc>
        <w:tc>
          <w:tcPr>
            <w:tcW w:w="577" w:type="dxa"/>
          </w:tcPr>
          <w:p w:rsidR="007A4610" w:rsidRDefault="007A4610">
            <w:pPr>
              <w:pStyle w:val="EmptyCellLayoutStyle"/>
              <w:spacing w:after="0" w:line="240" w:lineRule="auto"/>
            </w:pPr>
          </w:p>
        </w:tc>
        <w:tc>
          <w:tcPr>
            <w:tcW w:w="11" w:type="dxa"/>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178"/>
            </w:tblGrid>
            <w:tr w:rsidR="007A4610">
              <w:trPr>
                <w:trHeight w:val="228"/>
              </w:trPr>
              <w:tc>
                <w:tcPr>
                  <w:tcW w:w="9198"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7A4610" w:rsidRDefault="00E17947">
                  <w:pPr>
                    <w:numPr>
                      <w:ilvl w:val="0"/>
                      <w:numId w:val="1"/>
                    </w:numPr>
                    <w:spacing w:after="0" w:line="240" w:lineRule="auto"/>
                    <w:ind w:left="720" w:hanging="360"/>
                  </w:pPr>
                  <w:r>
                    <w:rPr>
                      <w:rFonts w:ascii="Segoe UI" w:eastAsia="Segoe UI" w:hAnsi="Segoe UI"/>
                      <w:b/>
                      <w:color w:val="000000"/>
                      <w:sz w:val="16"/>
                    </w:rPr>
                    <w:t xml:space="preserve">Buğday Endeks </w:t>
                  </w:r>
                  <w:r>
                    <w:rPr>
                      <w:rFonts w:ascii="Segoe UI" w:eastAsia="Segoe UI" w:hAnsi="Segoe UI"/>
                      <w:color w:val="000000"/>
                      <w:sz w:val="16"/>
                    </w:rPr>
                    <w:t>değeri %8,89 artarak 6.447,04 olarak gerçekleşmiştir.</w:t>
                  </w:r>
                </w:p>
              </w:tc>
            </w:tr>
            <w:tr w:rsidR="007A4610">
              <w:trPr>
                <w:trHeight w:val="228"/>
              </w:trPr>
              <w:tc>
                <w:tcPr>
                  <w:tcW w:w="9198"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7A4610" w:rsidRDefault="00E17947">
                  <w:pPr>
                    <w:numPr>
                      <w:ilvl w:val="0"/>
                      <w:numId w:val="1"/>
                    </w:numPr>
                    <w:spacing w:after="0" w:line="240" w:lineRule="auto"/>
                    <w:ind w:left="720" w:hanging="360"/>
                  </w:pPr>
                  <w:r>
                    <w:rPr>
                      <w:rFonts w:ascii="Segoe UI" w:eastAsia="Segoe UI" w:hAnsi="Segoe UI"/>
                      <w:b/>
                      <w:color w:val="000000"/>
                      <w:sz w:val="16"/>
                    </w:rPr>
                    <w:t xml:space="preserve">Buğday Ekmeklik Endeks </w:t>
                  </w:r>
                  <w:r>
                    <w:rPr>
                      <w:rFonts w:ascii="Segoe UI" w:eastAsia="Segoe UI" w:hAnsi="Segoe UI"/>
                      <w:color w:val="000000"/>
                      <w:sz w:val="16"/>
                    </w:rPr>
                    <w:t>değeri %10,93 artarak 6.852,41 olarak gerçekleşmiştir.</w:t>
                  </w:r>
                </w:p>
              </w:tc>
            </w:tr>
            <w:tr w:rsidR="007A4610">
              <w:trPr>
                <w:trHeight w:val="228"/>
              </w:trPr>
              <w:tc>
                <w:tcPr>
                  <w:tcW w:w="9198"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7A4610" w:rsidRDefault="00E17947">
                  <w:pPr>
                    <w:numPr>
                      <w:ilvl w:val="0"/>
                      <w:numId w:val="1"/>
                    </w:numPr>
                    <w:spacing w:after="0" w:line="240" w:lineRule="auto"/>
                    <w:ind w:left="720" w:hanging="360"/>
                  </w:pPr>
                  <w:r>
                    <w:rPr>
                      <w:rFonts w:ascii="Segoe UI" w:eastAsia="Segoe UI" w:hAnsi="Segoe UI"/>
                      <w:b/>
                      <w:color w:val="000000"/>
                      <w:sz w:val="16"/>
                    </w:rPr>
                    <w:t xml:space="preserve">Buğday Makarnalık Endeks </w:t>
                  </w:r>
                  <w:r>
                    <w:rPr>
                      <w:rFonts w:ascii="Segoe UI" w:eastAsia="Segoe UI" w:hAnsi="Segoe UI"/>
                      <w:color w:val="000000"/>
                      <w:sz w:val="16"/>
                    </w:rPr>
                    <w:t>değeri %6,09 artarak 6.475,58 olarak gerçekleşmiştir.</w:t>
                  </w:r>
                </w:p>
              </w:tc>
            </w:tr>
            <w:tr w:rsidR="007A4610">
              <w:trPr>
                <w:trHeight w:val="228"/>
              </w:trPr>
              <w:tc>
                <w:tcPr>
                  <w:tcW w:w="9198"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7A4610" w:rsidRDefault="00E17947">
                  <w:pPr>
                    <w:numPr>
                      <w:ilvl w:val="0"/>
                      <w:numId w:val="1"/>
                    </w:numPr>
                    <w:spacing w:after="0" w:line="240" w:lineRule="auto"/>
                    <w:ind w:left="720" w:hanging="360"/>
                  </w:pPr>
                  <w:r>
                    <w:rPr>
                      <w:rFonts w:ascii="Segoe UI" w:eastAsia="Segoe UI" w:hAnsi="Segoe UI"/>
                      <w:b/>
                      <w:color w:val="000000"/>
                      <w:sz w:val="16"/>
                    </w:rPr>
                    <w:t xml:space="preserve">Mısır Endeks </w:t>
                  </w:r>
                  <w:r>
                    <w:rPr>
                      <w:rFonts w:ascii="Segoe UI" w:eastAsia="Segoe UI" w:hAnsi="Segoe UI"/>
                      <w:color w:val="000000"/>
                      <w:sz w:val="16"/>
                    </w:rPr>
                    <w:t>değeri %1,24 artarak 6.229,06 olarak gerçekleşmiştir.</w:t>
                  </w:r>
                </w:p>
              </w:tc>
            </w:tr>
            <w:tr w:rsidR="007A4610">
              <w:trPr>
                <w:trHeight w:val="228"/>
              </w:trPr>
              <w:tc>
                <w:tcPr>
                  <w:tcW w:w="9198"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7A4610" w:rsidRDefault="00E17947">
                  <w:pPr>
                    <w:numPr>
                      <w:ilvl w:val="0"/>
                      <w:numId w:val="1"/>
                    </w:numPr>
                    <w:spacing w:after="0" w:line="240" w:lineRule="auto"/>
                    <w:ind w:left="720" w:hanging="360"/>
                  </w:pPr>
                  <w:r>
                    <w:rPr>
                      <w:rFonts w:ascii="Segoe UI" w:eastAsia="Segoe UI" w:hAnsi="Segoe UI"/>
                      <w:b/>
                      <w:color w:val="000000"/>
                      <w:sz w:val="16"/>
                    </w:rPr>
                    <w:t xml:space="preserve">Arpa Endeks </w:t>
                  </w:r>
                  <w:r>
                    <w:rPr>
                      <w:rFonts w:ascii="Segoe UI" w:eastAsia="Segoe UI" w:hAnsi="Segoe UI"/>
                      <w:color w:val="000000"/>
                      <w:sz w:val="16"/>
                    </w:rPr>
                    <w:t>değeri %8,03 artarak 6.278,97 olarak gerçekleşmiştir.</w:t>
                  </w:r>
                </w:p>
              </w:tc>
            </w:tr>
            <w:tr w:rsidR="007A4610">
              <w:trPr>
                <w:trHeight w:val="228"/>
              </w:trPr>
              <w:tc>
                <w:tcPr>
                  <w:tcW w:w="9198" w:type="dxa"/>
                  <w:tcBorders>
                    <w:top w:val="single" w:sz="7" w:space="0" w:color="FFFFFF"/>
                    <w:left w:val="single" w:sz="7" w:space="0" w:color="FFFFFF"/>
                    <w:bottom w:val="single" w:sz="7" w:space="0" w:color="FFFFFF"/>
                    <w:right w:val="single" w:sz="7" w:space="0" w:color="FFFFFF"/>
                  </w:tcBorders>
                  <w:tcMar>
                    <w:top w:w="39" w:type="dxa"/>
                    <w:left w:w="39" w:type="dxa"/>
                    <w:bottom w:w="39" w:type="dxa"/>
                    <w:right w:w="39" w:type="dxa"/>
                  </w:tcMar>
                </w:tcPr>
                <w:p w:rsidR="007A4610" w:rsidRDefault="00E17947">
                  <w:pPr>
                    <w:numPr>
                      <w:ilvl w:val="0"/>
                      <w:numId w:val="1"/>
                    </w:numPr>
                    <w:spacing w:after="0" w:line="240" w:lineRule="auto"/>
                    <w:ind w:left="720" w:hanging="360"/>
                  </w:pPr>
                  <w:r>
                    <w:rPr>
                      <w:rFonts w:ascii="Segoe UI" w:eastAsia="Segoe UI" w:hAnsi="Segoe UI"/>
                      <w:b/>
                      <w:color w:val="000000"/>
                      <w:sz w:val="16"/>
                    </w:rPr>
                    <w:t xml:space="preserve">Hububat Endeks </w:t>
                  </w:r>
                  <w:bookmarkStart w:id="0" w:name="_GoBack"/>
                  <w:bookmarkEnd w:id="0"/>
                  <w:r>
                    <w:rPr>
                      <w:rFonts w:ascii="Segoe UI" w:eastAsia="Segoe UI" w:hAnsi="Segoe UI"/>
                      <w:color w:val="000000"/>
                      <w:sz w:val="16"/>
                    </w:rPr>
                    <w:t>değeri %6,74 artarak 6.172,48 olarak gerçekleşmiştir.</w:t>
                  </w:r>
                </w:p>
              </w:tc>
            </w:tr>
          </w:tbl>
          <w:p w:rsidR="007A4610" w:rsidRDefault="007A4610">
            <w:pPr>
              <w:spacing w:after="0" w:line="240" w:lineRule="auto"/>
            </w:pPr>
          </w:p>
        </w:tc>
        <w:tc>
          <w:tcPr>
            <w:tcW w:w="11" w:type="dxa"/>
          </w:tcPr>
          <w:p w:rsidR="007A4610" w:rsidRDefault="007A4610">
            <w:pPr>
              <w:pStyle w:val="EmptyCellLayoutStyle"/>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r w:rsidR="007A4610">
        <w:trPr>
          <w:trHeight w:val="20"/>
        </w:trPr>
        <w:tc>
          <w:tcPr>
            <w:tcW w:w="839" w:type="dxa"/>
          </w:tcPr>
          <w:p w:rsidR="007A4610" w:rsidRDefault="007A4610">
            <w:pPr>
              <w:pStyle w:val="EmptyCellLayoutStyle"/>
              <w:spacing w:after="0" w:line="240" w:lineRule="auto"/>
            </w:pPr>
          </w:p>
        </w:tc>
        <w:tc>
          <w:tcPr>
            <w:tcW w:w="577"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426" w:type="dxa"/>
          </w:tcPr>
          <w:p w:rsidR="007A4610" w:rsidRDefault="007A4610">
            <w:pPr>
              <w:pStyle w:val="EmptyCellLayoutStyle"/>
              <w:spacing w:after="0" w:line="240" w:lineRule="auto"/>
            </w:pPr>
          </w:p>
        </w:tc>
        <w:tc>
          <w:tcPr>
            <w:tcW w:w="5488" w:type="dxa"/>
          </w:tcPr>
          <w:p w:rsidR="007A4610" w:rsidRDefault="007A4610">
            <w:pPr>
              <w:pStyle w:val="EmptyCellLayoutStyle"/>
              <w:spacing w:after="0" w:line="240" w:lineRule="auto"/>
            </w:pPr>
          </w:p>
        </w:tc>
        <w:tc>
          <w:tcPr>
            <w:tcW w:w="1271"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r w:rsidR="00E17947" w:rsidTr="00E17947">
        <w:trPr>
          <w:trHeight w:val="2289"/>
        </w:trPr>
        <w:tc>
          <w:tcPr>
            <w:tcW w:w="839" w:type="dxa"/>
          </w:tcPr>
          <w:p w:rsidR="007A4610" w:rsidRDefault="007A4610">
            <w:pPr>
              <w:pStyle w:val="EmptyCellLayoutStyle"/>
              <w:spacing w:after="0" w:line="240" w:lineRule="auto"/>
            </w:pPr>
          </w:p>
        </w:tc>
        <w:tc>
          <w:tcPr>
            <w:tcW w:w="577" w:type="dxa"/>
            <w:gridSpan w:val="5"/>
          </w:tcPr>
          <w:tbl>
            <w:tblPr>
              <w:tblW w:w="0" w:type="auto"/>
              <w:tblCellMar>
                <w:left w:w="0" w:type="dxa"/>
                <w:right w:w="0" w:type="dxa"/>
              </w:tblCellMar>
              <w:tblLook w:val="04A0" w:firstRow="1" w:lastRow="0" w:firstColumn="1" w:lastColumn="0" w:noHBand="0" w:noVBand="1"/>
            </w:tblPr>
            <w:tblGrid>
              <w:gridCol w:w="9773"/>
            </w:tblGrid>
            <w:tr w:rsidR="007A4610">
              <w:trPr>
                <w:trHeight w:val="2289"/>
              </w:trPr>
              <w:tc>
                <w:tcPr>
                  <w:tcW w:w="9775" w:type="dxa"/>
                  <w:tcBorders>
                    <w:top w:val="nil"/>
                    <w:left w:val="nil"/>
                    <w:bottom w:val="nil"/>
                    <w:right w:val="nil"/>
                  </w:tcBorders>
                  <w:tcMar>
                    <w:top w:w="0" w:type="dxa"/>
                    <w:left w:w="0" w:type="dxa"/>
                    <w:bottom w:w="0" w:type="dxa"/>
                    <w:right w:w="0" w:type="dxa"/>
                  </w:tcMar>
                </w:tcPr>
                <w:p w:rsidR="007A4610" w:rsidRDefault="007A4610">
                  <w:pPr>
                    <w:spacing w:after="0" w:line="240" w:lineRule="auto"/>
                  </w:pPr>
                </w:p>
                <w:p w:rsidR="007A4610" w:rsidRDefault="00E17947">
                  <w:pPr>
                    <w:spacing w:after="0" w:line="240" w:lineRule="auto"/>
                  </w:pPr>
                  <w:r>
                    <w:rPr>
                      <w:rFonts w:ascii="Arial" w:eastAsia="Arial" w:hAnsi="Arial"/>
                      <w:b/>
                      <w:color w:val="000000"/>
                      <w:sz w:val="16"/>
                    </w:rPr>
                    <w:t>TÜRİB Hakkında</w:t>
                  </w:r>
                </w:p>
                <w:p w:rsidR="007A4610" w:rsidRDefault="00E17947">
                  <w:pPr>
                    <w:spacing w:after="0" w:line="240" w:lineRule="auto"/>
                  </w:pPr>
                  <w:r>
                    <w:rPr>
                      <w:rFonts w:ascii="Arial" w:eastAsia="Arial" w:hAnsi="Arial"/>
                      <w:color w:val="000000"/>
                      <w:sz w:val="16"/>
                    </w:rPr>
                    <w:br/>
                  </w:r>
                  <w:r>
                    <w:rPr>
                      <w:rFonts w:ascii="Arial" w:eastAsia="Arial" w:hAnsi="Arial"/>
                      <w:i/>
                      <w:color w:val="000000"/>
                      <w:sz w:val="16"/>
                    </w:rPr>
                    <w:t xml:space="preserve">2018 yılının Haziran ayında kurulan TÜRİB; lisanslı depo işletmecilerince oluşturulan elektronik ürün senetleri ile elektronik ürün senetlerine dayalı vadeli işlem sözleşmelerinin ticaretinin yürütülmesini sağlamak üzere borsacılık faaliyetinde bulunmaktadır. </w:t>
                  </w:r>
                  <w:r>
                    <w:rPr>
                      <w:rFonts w:ascii="Arial" w:eastAsia="Arial" w:hAnsi="Arial"/>
                      <w:i/>
                      <w:color w:val="000000"/>
                      <w:sz w:val="16"/>
                    </w:rPr>
                    <w:br/>
                    <w:t>TÜRİB, tarladan sofraya gıda tedarik zincirinin dijitalleşmesi, elektronik ürün senetlerinin yaygınlaştırılması, sözleşmeli tarımın gelişmesi, lisanslı depoculuk gibi alanlarda Türkiye Odalar ve Borsalar Birliği, T.C. Ticaret Bakanlığı, T.C. Tarım ve Orman Bakanlığı, T.C. Hazine ve Maliye Bakanlığı ve diğer paydaşlar ile iş birliğini sürdürmektedir.</w:t>
                  </w:r>
                </w:p>
                <w:p w:rsidR="007A4610" w:rsidRDefault="00E17947">
                  <w:pPr>
                    <w:spacing w:after="0" w:line="240" w:lineRule="auto"/>
                  </w:pPr>
                  <w:r>
                    <w:rPr>
                      <w:rFonts w:ascii="Arial" w:eastAsia="Arial" w:hAnsi="Arial"/>
                      <w:i/>
                      <w:color w:val="000000"/>
                      <w:sz w:val="16"/>
                    </w:rPr>
                    <w:t xml:space="preserve"> </w:t>
                  </w:r>
                  <w:r>
                    <w:rPr>
                      <w:rFonts w:ascii="Arial" w:eastAsia="Arial" w:hAnsi="Arial"/>
                      <w:color w:val="000000"/>
                      <w:sz w:val="16"/>
                    </w:rPr>
                    <w:br/>
                  </w:r>
                </w:p>
                <w:p w:rsidR="007A4610" w:rsidRDefault="00E17947">
                  <w:pPr>
                    <w:spacing w:after="0" w:line="240" w:lineRule="auto"/>
                  </w:pPr>
                  <w:r>
                    <w:rPr>
                      <w:rFonts w:ascii="Arial" w:eastAsia="Arial" w:hAnsi="Arial"/>
                      <w:b/>
                      <w:color w:val="000000"/>
                      <w:sz w:val="16"/>
                    </w:rPr>
                    <w:t>ÜRÜN TOPRAĞINDA YETİŞİR, BORSASINDA DEĞERLENİR</w:t>
                  </w:r>
                  <w:r>
                    <w:rPr>
                      <w:rFonts w:ascii="Arial" w:eastAsia="Arial" w:hAnsi="Arial"/>
                      <w:color w:val="000000"/>
                      <w:sz w:val="16"/>
                    </w:rPr>
                    <w:br/>
                  </w:r>
                  <w:r>
                    <w:rPr>
                      <w:rFonts w:ascii="Arial" w:eastAsia="Arial" w:hAnsi="Arial"/>
                      <w:color w:val="000000"/>
                      <w:sz w:val="16"/>
                    </w:rPr>
                    <w:br/>
                  </w:r>
                </w:p>
              </w:tc>
            </w:tr>
          </w:tbl>
          <w:p w:rsidR="007A4610" w:rsidRDefault="007A4610">
            <w:pPr>
              <w:spacing w:after="0" w:line="240" w:lineRule="auto"/>
            </w:pPr>
          </w:p>
        </w:tc>
        <w:tc>
          <w:tcPr>
            <w:tcW w:w="11" w:type="dxa"/>
          </w:tcPr>
          <w:p w:rsidR="007A4610" w:rsidRDefault="007A4610">
            <w:pPr>
              <w:pStyle w:val="EmptyCellLayoutStyle"/>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r w:rsidR="007A4610">
        <w:trPr>
          <w:trHeight w:val="532"/>
        </w:trPr>
        <w:tc>
          <w:tcPr>
            <w:tcW w:w="839" w:type="dxa"/>
          </w:tcPr>
          <w:p w:rsidR="007A4610" w:rsidRDefault="007A4610">
            <w:pPr>
              <w:pStyle w:val="EmptyCellLayoutStyle"/>
              <w:spacing w:after="0" w:line="240" w:lineRule="auto"/>
            </w:pPr>
          </w:p>
        </w:tc>
        <w:tc>
          <w:tcPr>
            <w:tcW w:w="577"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426" w:type="dxa"/>
          </w:tcPr>
          <w:p w:rsidR="007A4610" w:rsidRDefault="007A4610">
            <w:pPr>
              <w:pStyle w:val="EmptyCellLayoutStyle"/>
              <w:spacing w:after="0" w:line="240" w:lineRule="auto"/>
            </w:pPr>
          </w:p>
        </w:tc>
        <w:tc>
          <w:tcPr>
            <w:tcW w:w="5488" w:type="dxa"/>
          </w:tcPr>
          <w:p w:rsidR="007A4610" w:rsidRDefault="007A4610">
            <w:pPr>
              <w:pStyle w:val="EmptyCellLayoutStyle"/>
              <w:spacing w:after="0" w:line="240" w:lineRule="auto"/>
            </w:pPr>
          </w:p>
        </w:tc>
        <w:tc>
          <w:tcPr>
            <w:tcW w:w="1271" w:type="dxa"/>
          </w:tcPr>
          <w:p w:rsidR="007A4610" w:rsidRDefault="007A4610">
            <w:pPr>
              <w:pStyle w:val="EmptyCellLayoutStyle"/>
              <w:spacing w:after="0" w:line="240" w:lineRule="auto"/>
            </w:pPr>
          </w:p>
        </w:tc>
        <w:tc>
          <w:tcPr>
            <w:tcW w:w="11" w:type="dxa"/>
          </w:tcPr>
          <w:p w:rsidR="007A4610" w:rsidRDefault="007A4610">
            <w:pPr>
              <w:pStyle w:val="EmptyCellLayoutStyle"/>
              <w:spacing w:after="0" w:line="240" w:lineRule="auto"/>
            </w:pPr>
          </w:p>
        </w:tc>
        <w:tc>
          <w:tcPr>
            <w:tcW w:w="209" w:type="dxa"/>
          </w:tcPr>
          <w:p w:rsidR="007A4610" w:rsidRDefault="007A4610">
            <w:pPr>
              <w:pStyle w:val="EmptyCellLayoutStyle"/>
              <w:spacing w:after="0" w:line="240" w:lineRule="auto"/>
            </w:pPr>
          </w:p>
        </w:tc>
        <w:tc>
          <w:tcPr>
            <w:tcW w:w="1218" w:type="dxa"/>
          </w:tcPr>
          <w:p w:rsidR="007A4610" w:rsidRDefault="007A4610">
            <w:pPr>
              <w:pStyle w:val="EmptyCellLayoutStyle"/>
              <w:spacing w:after="0" w:line="240" w:lineRule="auto"/>
            </w:pPr>
          </w:p>
        </w:tc>
      </w:tr>
    </w:tbl>
    <w:p w:rsidR="007A4610" w:rsidRDefault="007A4610">
      <w:pPr>
        <w:spacing w:after="0" w:line="240" w:lineRule="auto"/>
      </w:pPr>
    </w:p>
    <w:sectPr w:rsidR="007A4610">
      <w:pgSz w:w="12055" w:h="16847"/>
      <w:pgMar w:top="0" w:right="0" w:bottom="0" w:left="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610"/>
    <w:rsid w:val="003548DC"/>
    <w:rsid w:val="003A317F"/>
    <w:rsid w:val="00471E20"/>
    <w:rsid w:val="007A4610"/>
    <w:rsid w:val="009245A3"/>
    <w:rsid w:val="00947E77"/>
    <w:rsid w:val="009B5393"/>
    <w:rsid w:val="00CF4888"/>
    <w:rsid w:val="00E179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8ABF"/>
  <w15:docId w15:val="{19A80409-AC8B-4F5C-9893-C123FC97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2874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TURIB</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DUYGU ARGUT</dc:creator>
  <dc:description/>
  <cp:lastModifiedBy>ŞURA ALACA</cp:lastModifiedBy>
  <cp:revision>4</cp:revision>
  <dcterms:created xsi:type="dcterms:W3CDTF">2025-10-02T08:46:00Z</dcterms:created>
  <dcterms:modified xsi:type="dcterms:W3CDTF">2025-10-02T10:23:00Z</dcterms:modified>
</cp:coreProperties>
</file>